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tabs>
          <w:tab w:val="left" w:leader="none" w:pos="8088"/>
        </w:tabs>
        <w:spacing w:line="240" w:lineRule="auto"/>
        <w:ind w:right="0" w:firstLine="0" w:left="114"/>
        <w:jc w:val="center"/>
        <w:rPr>
          <w:position w:val="1"/>
          <w:sz w:val="20"/>
          <w:szCs w:val="20"/>
          <w:highlight w:val="none"/>
        </w:rPr>
      </w:pPr>
      <w:r>
        <w:rPr>
          <w:position w:val="1"/>
          <w:sz w:val="20"/>
        </w:rPr>
      </w:r>
      <w:r>
        <w:rPr>
          <w:position w:val="1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21387" cy="816768"/>
                <wp:effectExtent l="0" t="0" r="0" b="0"/>
                <wp:docPr id="1" name="image1.jpeg" descr="_Pi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3581121" name="image1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221387" cy="816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332.39pt;height:64.31pt;mso-wrap-distance-left:0.00pt;mso-wrap-distance-top:0.00pt;mso-wrap-distance-right:0.00pt;mso-wrap-distance-bottom:0.00pt;z-index:1;" stroked="false">
                <v:imagedata r:id="rId9" o:title=""/>
                <o:lock v:ext="edit" rotation="t"/>
              </v:shape>
            </w:pict>
          </mc:Fallback>
        </mc:AlternateConten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</w:r>
      <w:r>
        <w:rPr>
          <w:position w:val="1"/>
          <w:sz w:val="20"/>
          <w:szCs w:val="20"/>
          <w:highlight w:val="none"/>
        </w:rPr>
      </w:r>
    </w:p>
    <w:p>
      <w:pPr>
        <w:pBdr/>
        <w:tabs>
          <w:tab w:val="left" w:leader="none" w:pos="8088"/>
        </w:tabs>
        <w:spacing w:line="240" w:lineRule="auto"/>
        <w:ind w:right="0" w:firstLine="0" w:left="11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 w:before="9"/>
        <w:ind/>
        <w:rPr/>
      </w:pPr>
      <w:r/>
      <w:r/>
    </w:p>
    <w:p>
      <w:pPr>
        <w:pBdr/>
        <w:spacing w:before="1"/>
        <w:ind w:right="909" w:firstLine="0" w:left="871"/>
        <w:jc w:val="center"/>
        <w:rPr>
          <w:b/>
          <w:sz w:val="22"/>
        </w:rPr>
      </w:pPr>
      <w:r>
        <w:rPr>
          <w:b/>
          <w:sz w:val="22"/>
        </w:rPr>
        <w:t xml:space="preserve">Allegato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 xml:space="preserve">5</w:t>
      </w:r>
      <w:r>
        <w:rPr>
          <w:b/>
          <w:sz w:val="22"/>
        </w:rPr>
      </w:r>
    </w:p>
    <w:p>
      <w:pPr>
        <w:pStyle w:val="623"/>
        <w:pBdr/>
        <w:spacing w:before="8"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Bdr/>
        <w:spacing w:before="1"/>
        <w:ind w:right="914" w:firstLine="0" w:left="871"/>
        <w:jc w:val="center"/>
        <w:rPr>
          <w:b/>
          <w:sz w:val="22"/>
        </w:rPr>
      </w:pPr>
      <w:r>
        <w:rPr>
          <w:b/>
          <w:sz w:val="22"/>
        </w:rPr>
        <w:t xml:space="preserve">DICHIARAZIONI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 xml:space="preserve">DI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 xml:space="preserve">AFFIDABILITÀ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 xml:space="preserve">GIURIDICO-ECONOMICO-FINANZIARIA</w:t>
      </w:r>
      <w:r>
        <w:rPr>
          <w:b/>
          <w:sz w:val="22"/>
        </w:rPr>
      </w:r>
    </w:p>
    <w:p>
      <w:pPr>
        <w:pStyle w:val="623"/>
        <w:pBdr/>
        <w:spacing w:before="1"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23"/>
        <w:pBdr/>
        <w:spacing/>
        <w:ind w:right="912" w:left="871"/>
        <w:jc w:val="center"/>
        <w:rPr/>
      </w:pPr>
      <w:r>
        <w:t xml:space="preserve">(</w:t>
      </w:r>
      <w:r>
        <w:rPr>
          <w:u w:val="single"/>
        </w:rPr>
        <w:t xml:space="preserve">resa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dal soggetto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capofila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da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ciascun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partner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ai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sensi DPR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445/2000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art.46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47</w:t>
      </w:r>
      <w:r>
        <w:t xml:space="preserve">)</w:t>
      </w:r>
      <w:r/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 w:before="1"/>
        <w:ind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Style w:val="623"/>
        <w:pBdr/>
        <w:tabs>
          <w:tab w:val="left" w:leader="none" w:pos="3184"/>
          <w:tab w:val="left" w:leader="none" w:pos="5371"/>
          <w:tab w:val="left" w:leader="none" w:pos="6706"/>
          <w:tab w:val="left" w:leader="none" w:pos="7794"/>
          <w:tab w:val="left" w:leader="none" w:pos="8077"/>
          <w:tab w:val="left" w:leader="none" w:pos="9800"/>
        </w:tabs>
        <w:spacing w:before="92" w:line="360" w:lineRule="auto"/>
        <w:ind w:right="103" w:left="112"/>
        <w:rPr/>
      </w:pPr>
      <w:r>
        <w:t xml:space="preserve">Il/La</w:t>
      </w:r>
      <w:r>
        <w:rPr>
          <w:spacing w:val="5"/>
        </w:rPr>
        <w:t xml:space="preserve"> </w:t>
      </w:r>
      <w:r>
        <w:t xml:space="preserve">sottoscritto/a</w:t>
      </w:r>
      <w:r>
        <w:rPr>
          <w:u w:val="single"/>
        </w:rPr>
        <w:tab/>
        <w:tab/>
      </w:r>
      <w:r>
        <w:t xml:space="preserve">nato</w:t>
      </w:r>
      <w:r>
        <w:rPr>
          <w:spacing w:val="7"/>
        </w:rPr>
        <w:t xml:space="preserve"> </w:t>
      </w:r>
      <w:r>
        <w:t xml:space="preserve">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</w:t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ab/>
      </w:r>
      <w:r>
        <w:t xml:space="preserve">residente</w:t>
      </w:r>
      <w:r>
        <w:rPr>
          <w:spacing w:val="11"/>
        </w:rPr>
        <w:t xml:space="preserve"> </w:t>
      </w:r>
      <w:r>
        <w:t xml:space="preserve">in</w:t>
      </w:r>
      <w:r>
        <w:rPr>
          <w:u w:val="single"/>
        </w:rPr>
        <w:tab/>
        <w:tab/>
      </w:r>
      <w:r>
        <w:t xml:space="preserve">in</w:t>
      </w:r>
      <w:r>
        <w:rPr>
          <w:spacing w:val="11"/>
        </w:rPr>
        <w:t xml:space="preserve"> </w:t>
      </w:r>
      <w:r>
        <w:t xml:space="preserve">qualità</w:t>
      </w:r>
      <w:r>
        <w:rPr>
          <w:spacing w:val="11"/>
        </w:rPr>
        <w:t xml:space="preserve"> </w:t>
      </w:r>
      <w:r>
        <w:t xml:space="preserve">di</w:t>
      </w:r>
      <w:r>
        <w:rPr>
          <w:spacing w:val="11"/>
        </w:rPr>
        <w:t xml:space="preserve"> </w:t>
      </w:r>
      <w:r>
        <w:t xml:space="preserve">legale</w:t>
      </w:r>
      <w:r>
        <w:rPr>
          <w:spacing w:val="11"/>
        </w:rPr>
        <w:t xml:space="preserve"> </w:t>
      </w:r>
      <w:r>
        <w:t xml:space="preserve">rappresentante</w:t>
      </w:r>
      <w:r/>
    </w:p>
    <w:p>
      <w:pPr>
        <w:pStyle w:val="623"/>
        <w:pBdr/>
        <w:tabs>
          <w:tab w:val="left" w:leader="none" w:pos="599"/>
          <w:tab w:val="left" w:leader="none" w:pos="7143"/>
          <w:tab w:val="left" w:leader="none" w:pos="7405"/>
          <w:tab w:val="left" w:leader="none" w:pos="8038"/>
          <w:tab w:val="left" w:leader="none" w:pos="8743"/>
          <w:tab w:val="left" w:leader="none" w:pos="9581"/>
        </w:tabs>
        <w:spacing/>
        <w:ind w:left="112"/>
        <w:rPr/>
      </w:pPr>
      <w:r>
        <w:t xml:space="preserve">di</w:t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con</w:t>
        <w:tab/>
        <w:t xml:space="preserve">sede</w:t>
        <w:tab/>
        <w:t xml:space="preserve">legale</w:t>
        <w:tab/>
        <w:t xml:space="preserve">in</w:t>
      </w:r>
      <w:r/>
    </w:p>
    <w:p>
      <w:pPr>
        <w:pStyle w:val="623"/>
        <w:pBdr/>
        <w:tabs>
          <w:tab w:val="left" w:leader="none" w:pos="6152"/>
          <w:tab w:val="left" w:leader="none" w:pos="6541"/>
          <w:tab w:val="left" w:leader="none" w:pos="7157"/>
          <w:tab w:val="left" w:leader="none" w:pos="9797"/>
        </w:tabs>
        <w:spacing w:before="126"/>
        <w:ind w:left="3191"/>
        <w:rPr/>
      </w:pPr>
      <w:r>
        <w:t xml:space="preserve">C.F.</w:t>
      </w:r>
      <w:r>
        <w:rPr>
          <w:u w:val="single"/>
        </w:rPr>
        <w:tab/>
      </w:r>
      <w:r>
        <w:tab/>
        <w:t xml:space="preserve">P.</w:t>
        <w:tab/>
        <w:t xml:space="preserve">IVA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623"/>
        <w:pBdr/>
        <w:spacing w:line="20" w:lineRule="exact"/>
        <w:ind w:left="112"/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76400" cy="5715"/>
                <wp:effectExtent l="0" t="0" r="0" b="0"/>
                <wp:docPr id="2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76400" cy="5715"/>
                          <a:chOff x="0" y="0"/>
                          <a:chExt cx="2640" cy="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4"/>
                            <a:ext cx="264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6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0000" style="width:132.00pt;height:0.45pt;mso-wrap-distance-left:0.00pt;mso-wrap-distance-top:0.00pt;mso-wrap-distance-right:0.00pt;mso-wrap-distance-bottom:0.00pt;" coordorigin="0,0" coordsize="26,0">
                <v:line id="shape 2" o:spid="_x0000_s2" style="position:absolute;left:0;text-align:left;visibility:visible;" from="0.0pt,0.0pt" to="0.0pt,0.0pt" fillcolor="#FFFFFF" strokecolor="#000000" strokeweight="0.44pt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</w:r>
    </w:p>
    <w:p>
      <w:pPr>
        <w:pStyle w:val="623"/>
        <w:pBdr/>
        <w:tabs>
          <w:tab w:val="left" w:leader="none" w:pos="4760"/>
          <w:tab w:val="left" w:leader="none" w:pos="7671"/>
        </w:tabs>
        <w:spacing w:before="109"/>
        <w:ind w:left="112"/>
        <w:rPr/>
      </w:pPr>
      <w:r>
        <w:t xml:space="preserve">pec</w:t>
      </w:r>
      <w:r>
        <w:rPr>
          <w:u w:val="single"/>
        </w:rPr>
        <w:tab/>
      </w:r>
      <w:r>
        <w:t xml:space="preserve">n.tel.</w:t>
      </w:r>
      <w:r>
        <w:rPr>
          <w:u w:val="single"/>
        </w:rPr>
        <w:t xml:space="preserve"> </w:t>
        <w:tab/>
      </w:r>
      <w:r/>
    </w:p>
    <w:p>
      <w:pPr>
        <w:pStyle w:val="623"/>
        <w:pBdr/>
        <w:spacing w:before="9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 w:before="91"/>
        <w:ind w:right="908" w:firstLine="0" w:left="871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DICHIARA</w:t>
      </w:r>
      <w:r>
        <w:rPr>
          <w:b/>
          <w:i/>
          <w:sz w:val="22"/>
        </w:rPr>
      </w:r>
    </w:p>
    <w:p>
      <w:pPr>
        <w:pStyle w:val="623"/>
        <w:pBdr/>
        <w:spacing w:before="4"/>
        <w:ind/>
        <w:rPr>
          <w:b/>
          <w:i/>
          <w:sz w:val="20"/>
        </w:rPr>
      </w:pPr>
      <w:r>
        <w:rPr>
          <w:b/>
          <w:i/>
          <w:sz w:val="20"/>
        </w:rPr>
      </w:r>
      <w:r>
        <w:rPr>
          <w:b/>
          <w:i/>
          <w:sz w:val="20"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834"/>
        </w:tabs>
        <w:spacing w:after="0" w:before="0" w:line="268" w:lineRule="auto"/>
        <w:ind w:right="151" w:hanging="360" w:left="833"/>
        <w:jc w:val="both"/>
        <w:rPr>
          <w:sz w:val="22"/>
        </w:rPr>
      </w:pPr>
      <w:r>
        <w:rPr>
          <w:sz w:val="22"/>
        </w:rPr>
        <w:t xml:space="preserve">di non trovarsi in stato di fallimento, di liquidazione, di cessazione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di attività o di concordato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preventivo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in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qualsiasi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altra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situazione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equivalente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secondo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la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legislazione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del</w:t>
      </w:r>
      <w:r>
        <w:rPr>
          <w:spacing w:val="55"/>
          <w:sz w:val="22"/>
        </w:rPr>
        <w:t xml:space="preserve"> </w:t>
      </w:r>
      <w:r>
        <w:rPr>
          <w:sz w:val="22"/>
        </w:rPr>
        <w:t xml:space="preserve">proprio</w:t>
      </w:r>
      <w:r>
        <w:rPr>
          <w:spacing w:val="55"/>
          <w:sz w:val="22"/>
        </w:rPr>
        <w:t xml:space="preserve"> </w:t>
      </w:r>
      <w:r>
        <w:rPr>
          <w:sz w:val="22"/>
        </w:rPr>
        <w:t xml:space="preserve">stato,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ovvero di non avere in corso un procedimento per la dichiarazione di una di tali situazioni e che tali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circostanze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non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si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sono verificate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nell’ultimo triennio;</w:t>
      </w:r>
      <w:r>
        <w:rPr>
          <w:sz w:val="22"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834"/>
        </w:tabs>
        <w:spacing w:after="0" w:before="10" w:line="259" w:lineRule="auto"/>
        <w:ind w:right="156" w:hanging="360" w:left="833"/>
        <w:jc w:val="both"/>
        <w:rPr>
          <w:sz w:val="22"/>
        </w:rPr>
      </w:pPr>
      <w:r>
        <w:rPr>
          <w:sz w:val="22"/>
        </w:rPr>
        <w:t xml:space="preserve">che non è stata pronunciata alcuna condanna, con sentenza passata in giudicato, per qualsiasi reato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che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determina l’incapacità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a contrattare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con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la P.A;</w:t>
      </w:r>
      <w:r>
        <w:rPr>
          <w:sz w:val="22"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834"/>
        </w:tabs>
        <w:spacing w:after="0" w:before="19" w:line="240" w:lineRule="auto"/>
        <w:ind w:right="0" w:hanging="361" w:left="833"/>
        <w:jc w:val="left"/>
        <w:rPr>
          <w:sz w:val="22"/>
        </w:rPr>
      </w:pPr>
      <w:r>
        <w:rPr>
          <w:sz w:val="22"/>
        </w:rPr>
        <w:t xml:space="preserve">di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non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avere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procedimenti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in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corso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ai sensi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dell’art.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416/bis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del codice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penale;</w:t>
      </w:r>
      <w:r>
        <w:rPr>
          <w:sz w:val="22"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834"/>
        </w:tabs>
        <w:spacing w:after="0" w:before="19" w:line="240" w:lineRule="auto"/>
        <w:ind w:right="0" w:hanging="361" w:left="833"/>
        <w:jc w:val="left"/>
        <w:rPr>
          <w:sz w:val="22"/>
        </w:rPr>
      </w:pPr>
      <w:r>
        <w:rPr>
          <w:sz w:val="22"/>
        </w:rPr>
        <w:t xml:space="preserve">di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essere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regolarmente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iscritti,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laddove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previsto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per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legge,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alla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CCIAA;</w:t>
      </w:r>
      <w:r>
        <w:rPr>
          <w:sz w:val="22"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834"/>
          <w:tab w:val="left" w:leader="none" w:pos="9515"/>
        </w:tabs>
        <w:spacing w:after="0" w:before="19" w:line="240" w:lineRule="auto"/>
        <w:ind w:right="0" w:hanging="361" w:left="833"/>
        <w:jc w:val="left"/>
        <w:rPr>
          <w:sz w:val="22"/>
        </w:rPr>
      </w:pPr>
      <w:r>
        <w:rPr>
          <w:sz w:val="22"/>
        </w:rPr>
        <w:t xml:space="preserve">di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non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essere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tenuto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all’iscrizione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alla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CCIAA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(indicare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la</w:t>
      </w:r>
      <w:r>
        <w:rPr>
          <w:spacing w:val="2"/>
          <w:sz w:val="22"/>
        </w:rPr>
        <w:t xml:space="preserve"> </w:t>
      </w:r>
      <w:r>
        <w:rPr>
          <w:sz w:val="22"/>
        </w:rPr>
        <w:t xml:space="preserve">motivazione</w:t>
      </w:r>
      <w:r>
        <w:rPr>
          <w:sz w:val="22"/>
          <w:u w:val="single"/>
        </w:rPr>
        <w:tab/>
      </w:r>
      <w:r>
        <w:rPr>
          <w:sz w:val="22"/>
        </w:rPr>
        <w:t xml:space="preserve">);</w:t>
      </w:r>
      <w:r>
        <w:rPr>
          <w:sz w:val="22"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834"/>
        </w:tabs>
        <w:spacing w:after="0" w:before="21" w:line="240" w:lineRule="auto"/>
        <w:ind w:right="0" w:hanging="361" w:left="833"/>
        <w:jc w:val="left"/>
        <w:rPr>
          <w:sz w:val="22"/>
        </w:rPr>
      </w:pPr>
      <w:r>
        <w:rPr>
          <w:sz w:val="22"/>
        </w:rPr>
        <w:t xml:space="preserve">di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essere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in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regola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con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gli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obblighi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relativi al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pagamento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dei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contributi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previdenziali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e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assistenziali</w:t>
      </w:r>
      <w:r>
        <w:rPr>
          <w:sz w:val="22"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834"/>
        </w:tabs>
        <w:spacing w:after="0" w:before="19" w:line="240" w:lineRule="auto"/>
        <w:ind w:right="0" w:hanging="361" w:left="833"/>
        <w:jc w:val="left"/>
        <w:rPr>
          <w:sz w:val="22"/>
        </w:rPr>
      </w:pPr>
      <w:r>
        <w:rPr>
          <w:sz w:val="22"/>
        </w:rPr>
        <w:t xml:space="preserve">di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essere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esente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dall’obbligo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di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iscrizione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all’INPS/INAIL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(indicare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la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motivazione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);</w:t>
      </w:r>
      <w:r>
        <w:rPr>
          <w:sz w:val="22"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834"/>
        </w:tabs>
        <w:spacing w:after="0" w:before="19" w:line="256" w:lineRule="auto"/>
        <w:ind w:right="160" w:hanging="360" w:left="833"/>
        <w:jc w:val="both"/>
        <w:rPr>
          <w:sz w:val="22"/>
        </w:rPr>
      </w:pPr>
      <w:r>
        <w:rPr>
          <w:sz w:val="22"/>
        </w:rPr>
        <w:t xml:space="preserve">di essere in regola con gli obblighi concernenti le dichiarazioni in materia di imposte e tasse e con i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conseguenti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adempimenti, secondo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la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legislazione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del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proprio stato;</w:t>
      </w:r>
      <w:r>
        <w:rPr>
          <w:sz w:val="22"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834"/>
        </w:tabs>
        <w:spacing w:after="0" w:before="21" w:line="271" w:lineRule="auto"/>
        <w:ind w:right="155" w:hanging="360" w:left="833"/>
        <w:jc w:val="both"/>
        <w:rPr>
          <w:sz w:val="22"/>
        </w:rPr>
      </w:pPr>
      <w:r>
        <w:rPr>
          <w:sz w:val="22"/>
        </w:rPr>
        <w:t xml:space="preserve">di non aver messo in pratica atti, patti o comportamenti discriminatori ai sensi degli artt. 25 e 26del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Decreto legislativo 198/2006 “Codice delle pari opportunità tra uomo e donna” così come integrato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dal</w:t>
      </w:r>
      <w:r>
        <w:rPr>
          <w:spacing w:val="45"/>
          <w:sz w:val="22"/>
        </w:rPr>
        <w:t xml:space="preserve"> </w:t>
      </w:r>
      <w:r>
        <w:rPr>
          <w:sz w:val="22"/>
        </w:rPr>
        <w:t xml:space="preserve">D.lgs</w:t>
      </w:r>
      <w:r>
        <w:rPr>
          <w:spacing w:val="45"/>
          <w:sz w:val="22"/>
        </w:rPr>
        <w:t xml:space="preserve"> </w:t>
      </w:r>
      <w:r>
        <w:rPr>
          <w:sz w:val="22"/>
        </w:rPr>
        <w:t xml:space="preserve">14</w:t>
      </w:r>
      <w:r>
        <w:rPr>
          <w:spacing w:val="44"/>
          <w:sz w:val="22"/>
        </w:rPr>
        <w:t xml:space="preserve"> </w:t>
      </w:r>
      <w:r>
        <w:rPr>
          <w:sz w:val="22"/>
        </w:rPr>
        <w:t xml:space="preserve">settembre,</w:t>
      </w:r>
      <w:r>
        <w:rPr>
          <w:spacing w:val="44"/>
          <w:sz w:val="22"/>
        </w:rPr>
        <w:t xml:space="preserve"> </w:t>
      </w:r>
      <w:r>
        <w:rPr>
          <w:sz w:val="22"/>
        </w:rPr>
        <w:t xml:space="preserve">n.</w:t>
      </w:r>
      <w:r>
        <w:rPr>
          <w:spacing w:val="42"/>
          <w:sz w:val="22"/>
        </w:rPr>
        <w:t xml:space="preserve"> </w:t>
      </w:r>
      <w:r>
        <w:rPr>
          <w:sz w:val="22"/>
        </w:rPr>
        <w:t xml:space="preserve">151,</w:t>
      </w:r>
      <w:r>
        <w:rPr>
          <w:spacing w:val="44"/>
          <w:sz w:val="22"/>
        </w:rPr>
        <w:t xml:space="preserve"> </w:t>
      </w:r>
      <w:r>
        <w:rPr>
          <w:sz w:val="22"/>
        </w:rPr>
        <w:t xml:space="preserve">ai</w:t>
      </w:r>
      <w:r>
        <w:rPr>
          <w:spacing w:val="45"/>
          <w:sz w:val="22"/>
        </w:rPr>
        <w:t xml:space="preserve"> </w:t>
      </w:r>
      <w:r>
        <w:rPr>
          <w:sz w:val="22"/>
        </w:rPr>
        <w:t xml:space="preserve">sensi</w:t>
      </w:r>
      <w:r>
        <w:rPr>
          <w:spacing w:val="45"/>
          <w:sz w:val="22"/>
        </w:rPr>
        <w:t xml:space="preserve"> </w:t>
      </w:r>
      <w:r>
        <w:rPr>
          <w:sz w:val="22"/>
        </w:rPr>
        <w:t xml:space="preserve">dell’articolo</w:t>
      </w:r>
      <w:r>
        <w:rPr>
          <w:spacing w:val="45"/>
          <w:sz w:val="22"/>
        </w:rPr>
        <w:t xml:space="preserve"> </w:t>
      </w:r>
      <w:r>
        <w:rPr>
          <w:sz w:val="22"/>
        </w:rPr>
        <w:t xml:space="preserve">6</w:t>
      </w:r>
      <w:r>
        <w:rPr>
          <w:spacing w:val="44"/>
          <w:sz w:val="22"/>
        </w:rPr>
        <w:t xml:space="preserve"> </w:t>
      </w:r>
      <w:r>
        <w:rPr>
          <w:sz w:val="22"/>
        </w:rPr>
        <w:t xml:space="preserve">della</w:t>
      </w:r>
      <w:r>
        <w:rPr>
          <w:spacing w:val="44"/>
          <w:sz w:val="22"/>
        </w:rPr>
        <w:t xml:space="preserve"> </w:t>
      </w:r>
      <w:r>
        <w:rPr>
          <w:sz w:val="22"/>
        </w:rPr>
        <w:t xml:space="preserve">legge</w:t>
      </w:r>
      <w:r>
        <w:rPr>
          <w:spacing w:val="44"/>
          <w:sz w:val="22"/>
        </w:rPr>
        <w:t xml:space="preserve"> </w:t>
      </w:r>
      <w:r>
        <w:rPr>
          <w:sz w:val="22"/>
        </w:rPr>
        <w:t xml:space="preserve">28</w:t>
      </w:r>
      <w:r>
        <w:rPr>
          <w:spacing w:val="44"/>
          <w:sz w:val="22"/>
        </w:rPr>
        <w:t xml:space="preserve"> </w:t>
      </w:r>
      <w:r>
        <w:rPr>
          <w:sz w:val="22"/>
        </w:rPr>
        <w:t xml:space="preserve">novembre</w:t>
      </w:r>
      <w:r>
        <w:rPr>
          <w:spacing w:val="44"/>
          <w:sz w:val="22"/>
        </w:rPr>
        <w:t xml:space="preserve"> </w:t>
      </w:r>
      <w:r>
        <w:rPr>
          <w:sz w:val="22"/>
        </w:rPr>
        <w:t xml:space="preserve">2005</w:t>
      </w:r>
      <w:r>
        <w:rPr>
          <w:spacing w:val="44"/>
          <w:sz w:val="22"/>
        </w:rPr>
        <w:t xml:space="preserve"> </w:t>
      </w:r>
      <w:r>
        <w:rPr>
          <w:sz w:val="22"/>
        </w:rPr>
        <w:t xml:space="preserve">n.</w:t>
      </w:r>
      <w:r>
        <w:rPr>
          <w:spacing w:val="44"/>
          <w:sz w:val="22"/>
        </w:rPr>
        <w:t xml:space="preserve"> </w:t>
      </w:r>
      <w:r>
        <w:rPr>
          <w:sz w:val="22"/>
        </w:rPr>
        <w:t xml:space="preserve">246”,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accertati da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parte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della direzione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provinciale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del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lavoro territorialmente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competente.</w:t>
      </w:r>
      <w:r>
        <w:rPr>
          <w:sz w:val="22"/>
        </w:rPr>
      </w:r>
    </w:p>
    <w:p>
      <w:pPr>
        <w:pStyle w:val="624"/>
        <w:pBdr/>
        <w:spacing/>
        <w:ind/>
        <w:rPr/>
      </w:pPr>
      <w:r>
        <w:rPr>
          <w:i/>
        </w:rPr>
        <w:t xml:space="preserve">DICHIARA</w:t>
      </w:r>
      <w:r>
        <w:rPr>
          <w:i/>
          <w:spacing w:val="-57"/>
        </w:rPr>
        <w:t xml:space="preserve"> </w:t>
      </w:r>
      <w:r>
        <w:t xml:space="preserve">INOLTRE</w:t>
      </w:r>
      <w:r/>
    </w:p>
    <w:p>
      <w:pPr>
        <w:pBdr/>
        <w:spacing w:before="103" w:line="228" w:lineRule="auto"/>
        <w:ind w:right="353" w:firstLine="0" w:left="112"/>
        <w:jc w:val="both"/>
        <w:rPr>
          <w:i/>
          <w:sz w:val="22"/>
        </w:rPr>
      </w:pPr>
      <w:r>
        <w:rPr>
          <w:i/>
          <w:sz w:val="22"/>
        </w:rPr>
        <w:t xml:space="preserve">Ai sensi del D. Lgs. 196/2003 e GDPR n. 679/2016 “Regolamento europeo sulla protezione dei dati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personali”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di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acconsentire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al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trattamento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dei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dati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personali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nei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termini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con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le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modalità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indicate</w:t>
      </w:r>
      <w:r>
        <w:rPr>
          <w:i/>
          <w:spacing w:val="-52"/>
          <w:sz w:val="22"/>
        </w:rPr>
        <w:t xml:space="preserve"> </w:t>
      </w:r>
      <w:r>
        <w:rPr>
          <w:i/>
          <w:sz w:val="22"/>
        </w:rPr>
        <w:t xml:space="preserve">dall’avviso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pubblico.</w:t>
      </w:r>
      <w:r>
        <w:rPr>
          <w:i/>
          <w:sz w:val="22"/>
        </w:rPr>
      </w:r>
    </w:p>
    <w:p>
      <w:pPr>
        <w:pStyle w:val="623"/>
        <w:pBdr/>
        <w:spacing/>
        <w:ind/>
        <w:rPr>
          <w:i/>
          <w:sz w:val="24"/>
        </w:rPr>
      </w:pPr>
      <w:r>
        <w:rPr>
          <w:i/>
          <w:sz w:val="24"/>
        </w:rPr>
      </w:r>
      <w:r>
        <w:rPr>
          <w:i/>
          <w:sz w:val="24"/>
        </w:rPr>
      </w:r>
    </w:p>
    <w:p>
      <w:pPr>
        <w:pStyle w:val="623"/>
        <w:pBdr/>
        <w:spacing w:before="1"/>
        <w:ind/>
        <w:rPr>
          <w:i/>
          <w:sz w:val="19"/>
        </w:rPr>
      </w:pPr>
      <w:r>
        <w:rPr>
          <w:i/>
          <w:sz w:val="19"/>
        </w:rPr>
      </w:r>
      <w:r>
        <w:rPr>
          <w:i/>
          <w:sz w:val="19"/>
        </w:rPr>
      </w:r>
    </w:p>
    <w:p>
      <w:pPr>
        <w:pBdr/>
        <w:spacing w:before="0"/>
        <w:ind w:right="0" w:firstLine="0" w:left="112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Luogo e data</w:t>
      </w:r>
      <w:r>
        <w:rPr>
          <w:b/>
          <w:i/>
          <w:sz w:val="22"/>
        </w:rPr>
      </w:r>
    </w:p>
    <w:p>
      <w:pPr>
        <w:pStyle w:val="623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623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Bdr/>
        <w:spacing w:before="177"/>
        <w:ind w:right="2134" w:firstLine="0" w:left="0"/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Firma</w:t>
      </w:r>
      <w:r>
        <w:rPr>
          <w:b/>
          <w:i/>
          <w:sz w:val="22"/>
        </w:rPr>
      </w:r>
    </w:p>
    <w:sectPr>
      <w:footnotePr/>
      <w:endnotePr/>
      <w:type w:val="continuous"/>
      <w:pgSz w:h="16840" w:orient="landscape" w:w="11910"/>
      <w:pgMar w:top="840" w:right="980" w:bottom="280" w:left="102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o"/>
      <w:numFmt w:val="bullet"/>
      <w:pPr>
        <w:pBdr/>
        <w:spacing/>
        <w:ind w:hanging="360" w:left="833"/>
      </w:pPr>
      <w:rPr>
        <w:rFonts w:hint="default" w:ascii="Courier New" w:hAnsi="Courier New" w:eastAsia="Courier New" w:cs="Courier New"/>
        <w:b w:val="0"/>
        <w:bCs w:val="0"/>
        <w:i w:val="0"/>
        <w:iCs w:val="0"/>
        <w:sz w:val="22"/>
        <w:szCs w:val="22"/>
        <w:lang w:val="it-IT" w:eastAsia="en-US" w:bidi="ar-SA"/>
      </w:rPr>
      <w:start w:val="0"/>
      <w:suff w:val="space"/>
    </w:lvl>
    <w:lvl w:ilvl="1">
      <w:isLgl w:val="false"/>
      <w:lvlJc w:val="left"/>
      <w:lvlText w:val="•"/>
      <w:numFmt w:val="bullet"/>
      <w:pPr>
        <w:pBdr/>
        <w:spacing/>
        <w:ind w:hanging="360" w:left="1746"/>
      </w:pPr>
      <w:rPr>
        <w:rFonts w:hint="default"/>
        <w:lang w:val="it-IT" w:eastAsia="en-US" w:bidi="ar-SA"/>
      </w:rPr>
      <w:start w:val="0"/>
      <w:suff w:val="space"/>
    </w:lvl>
    <w:lvl w:ilvl="2">
      <w:isLgl w:val="false"/>
      <w:lvlJc w:val="left"/>
      <w:lvlText w:val="•"/>
      <w:numFmt w:val="bullet"/>
      <w:pPr>
        <w:pBdr/>
        <w:spacing/>
        <w:ind w:hanging="360" w:left="2653"/>
      </w:pPr>
      <w:rPr>
        <w:rFonts w:hint="default"/>
        <w:lang w:val="it-IT" w:eastAsia="en-US" w:bidi="ar-SA"/>
      </w:rPr>
      <w:start w:val="0"/>
      <w:suff w:val="space"/>
    </w:lvl>
    <w:lvl w:ilvl="3">
      <w:isLgl w:val="false"/>
      <w:lvlJc w:val="left"/>
      <w:lvlText w:val="•"/>
      <w:numFmt w:val="bullet"/>
      <w:pPr>
        <w:pBdr/>
        <w:spacing/>
        <w:ind w:hanging="360" w:left="3559"/>
      </w:pPr>
      <w:rPr>
        <w:rFonts w:hint="default"/>
        <w:lang w:val="it-IT" w:eastAsia="en-US" w:bidi="ar-SA"/>
      </w:rPr>
      <w:start w:val="0"/>
      <w:suff w:val="space"/>
    </w:lvl>
    <w:lvl w:ilvl="4">
      <w:isLgl w:val="false"/>
      <w:lvlJc w:val="left"/>
      <w:lvlText w:val="•"/>
      <w:numFmt w:val="bullet"/>
      <w:pPr>
        <w:pBdr/>
        <w:spacing/>
        <w:ind w:hanging="360" w:left="4466"/>
      </w:pPr>
      <w:rPr>
        <w:rFonts w:hint="default"/>
        <w:lang w:val="it-IT" w:eastAsia="en-US" w:bidi="ar-SA"/>
      </w:rPr>
      <w:start w:val="0"/>
      <w:suff w:val="space"/>
    </w:lvl>
    <w:lvl w:ilvl="5">
      <w:isLgl w:val="false"/>
      <w:lvlJc w:val="left"/>
      <w:lvlText w:val="•"/>
      <w:numFmt w:val="bullet"/>
      <w:pPr>
        <w:pBdr/>
        <w:spacing/>
        <w:ind w:hanging="360" w:left="5373"/>
      </w:pPr>
      <w:rPr>
        <w:rFonts w:hint="default"/>
        <w:lang w:val="it-IT" w:eastAsia="en-US" w:bidi="ar-SA"/>
      </w:rPr>
      <w:start w:val="0"/>
      <w:suff w:val="space"/>
    </w:lvl>
    <w:lvl w:ilvl="6">
      <w:isLgl w:val="false"/>
      <w:lvlJc w:val="left"/>
      <w:lvlText w:val="•"/>
      <w:numFmt w:val="bullet"/>
      <w:pPr>
        <w:pBdr/>
        <w:spacing/>
        <w:ind w:hanging="360" w:left="6279"/>
      </w:pPr>
      <w:rPr>
        <w:rFonts w:hint="default"/>
        <w:lang w:val="it-IT" w:eastAsia="en-US" w:bidi="ar-SA"/>
      </w:rPr>
      <w:start w:val="0"/>
      <w:suff w:val="space"/>
    </w:lvl>
    <w:lvl w:ilvl="7">
      <w:isLgl w:val="false"/>
      <w:lvlJc w:val="left"/>
      <w:lvlText w:val="•"/>
      <w:numFmt w:val="bullet"/>
      <w:pPr>
        <w:pBdr/>
        <w:spacing/>
        <w:ind w:hanging="360" w:left="7186"/>
      </w:pPr>
      <w:rPr>
        <w:rFonts w:hint="default"/>
        <w:lang w:val="it-IT" w:eastAsia="en-US" w:bidi="ar-SA"/>
      </w:rPr>
      <w:start w:val="0"/>
      <w:suff w:val="space"/>
    </w:lvl>
    <w:lvl w:ilvl="8">
      <w:isLgl w:val="false"/>
      <w:lvlJc w:val="left"/>
      <w:lvlText w:val="•"/>
      <w:numFmt w:val="bullet"/>
      <w:pPr>
        <w:pBdr/>
        <w:spacing/>
        <w:ind w:hanging="360" w:left="8093"/>
      </w:pPr>
      <w:rPr>
        <w:rFonts w:hint="default"/>
        <w:lang w:val="it-IT" w:eastAsia="en-US" w:bidi="ar-SA"/>
      </w:rPr>
      <w:start w:val="0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2"/>
    <w:next w:val="622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9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2"/>
    <w:next w:val="622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2"/>
    <w:next w:val="622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2"/>
    <w:next w:val="622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2"/>
    <w:next w:val="622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2"/>
    <w:next w:val="622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5">
    <w:name w:val="Title Char"/>
    <w:basedOn w:val="619"/>
    <w:link w:val="62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2"/>
    <w:next w:val="622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2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9"/>
    <w:link w:val="42"/>
    <w:uiPriority w:val="99"/>
    <w:pPr>
      <w:pBdr/>
      <w:spacing/>
      <w:ind/>
    </w:pPr>
  </w:style>
  <w:style w:type="paragraph" w:styleId="44">
    <w:name w:val="Footer"/>
    <w:basedOn w:val="622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9"/>
    <w:link w:val="44"/>
    <w:uiPriority w:val="99"/>
    <w:pPr>
      <w:pBdr/>
      <w:spacing/>
      <w:ind/>
    </w:pPr>
  </w:style>
  <w:style w:type="paragraph" w:styleId="46">
    <w:name w:val="Caption"/>
    <w:basedOn w:val="622"/>
    <w:next w:val="62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2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9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2"/>
    <w:next w:val="622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2"/>
    <w:next w:val="622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2"/>
    <w:next w:val="622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2"/>
    <w:next w:val="622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2"/>
    <w:next w:val="622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2"/>
    <w:next w:val="622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2"/>
    <w:next w:val="622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2"/>
    <w:next w:val="622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2"/>
    <w:next w:val="622"/>
    <w:uiPriority w:val="99"/>
    <w:unhideWhenUsed/>
    <w:pPr>
      <w:pBdr/>
      <w:spacing w:after="0" w:afterAutospacing="0"/>
      <w:ind/>
    </w:pPr>
  </w:style>
  <w:style w:type="character" w:styleId="619" w:default="1">
    <w:name w:val="Default Paragraph Font"/>
    <w:uiPriority w:val="1"/>
    <w:semiHidden/>
    <w:unhideWhenUsed/>
    <w:pPr>
      <w:pBdr/>
      <w:spacing/>
      <w:ind/>
    </w:pPr>
  </w:style>
  <w:style w:type="table" w:styleId="620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1" w:default="1">
    <w:name w:val="No List"/>
    <w:uiPriority w:val="99"/>
    <w:semiHidden/>
    <w:unhideWhenUsed/>
    <w:pPr>
      <w:pBdr/>
      <w:spacing/>
      <w:ind/>
    </w:pPr>
  </w:style>
  <w:style w:type="paragraph" w:styleId="622" w:default="1">
    <w:name w:val="Normal"/>
    <w:uiPriority w:val="1"/>
    <w:qFormat/>
    <w:pPr>
      <w:pBdr/>
      <w:spacing/>
      <w:ind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623">
    <w:name w:val="Body Text"/>
    <w:basedOn w:val="622"/>
    <w:uiPriority w:val="1"/>
    <w:qFormat/>
    <w:pPr>
      <w:pBdr/>
      <w:spacing/>
      <w:ind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624">
    <w:name w:val="Title"/>
    <w:basedOn w:val="622"/>
    <w:uiPriority w:val="1"/>
    <w:qFormat/>
    <w:pPr>
      <w:pBdr/>
      <w:spacing w:before="207"/>
      <w:ind w:right="4425" w:left="4289"/>
      <w:jc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t-IT" w:eastAsia="en-US" w:bidi="ar-SA"/>
    </w:rPr>
  </w:style>
  <w:style w:type="paragraph" w:styleId="625">
    <w:name w:val="List Paragraph"/>
    <w:basedOn w:val="622"/>
    <w:uiPriority w:val="1"/>
    <w:qFormat/>
    <w:pPr>
      <w:pBdr/>
      <w:spacing w:before="19"/>
      <w:ind w:hanging="361" w:left="833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626">
    <w:name w:val="Table Paragraph"/>
    <w:basedOn w:val="622"/>
    <w:uiPriority w:val="1"/>
    <w:qFormat/>
    <w:pPr>
      <w:pBdr/>
      <w:spacing/>
      <w:ind/>
    </w:pPr>
    <w:rPr>
      <w:lang w:val="it-I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revision>1</cp:revision>
  <dcterms:created xsi:type="dcterms:W3CDTF">2024-05-16T08:23:10Z</dcterms:created>
  <dcterms:modified xsi:type="dcterms:W3CDTF">2024-05-16T11:45:53Z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2024-05-16T00:00:00Z</vt:filetime>
  </property>
</Properties>
</file>